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E5" w:rsidRDefault="00EA53E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24"/>
        <w:gridCol w:w="2557"/>
      </w:tblGrid>
      <w:tr w:rsidR="00EA53E5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append1"/>
            </w:pPr>
            <w:r>
              <w:t>Приложение 2</w:t>
            </w:r>
          </w:p>
          <w:p w:rsidR="00EA53E5" w:rsidRDefault="00EA53E5">
            <w:pPr>
              <w:pStyle w:val="append"/>
            </w:pPr>
            <w:r>
              <w:t xml:space="preserve">к решению </w:t>
            </w:r>
            <w:r>
              <w:br/>
              <w:t xml:space="preserve">Минского областного </w:t>
            </w:r>
            <w:r>
              <w:br/>
              <w:t>исполнительного комитета</w:t>
            </w:r>
            <w:r>
              <w:br/>
              <w:t>21.05.2010 № 622</w:t>
            </w:r>
            <w:r>
              <w:br/>
              <w:t>(в редакции решения</w:t>
            </w:r>
            <w:r>
              <w:br/>
              <w:t>Минского областного</w:t>
            </w:r>
            <w:r>
              <w:br/>
              <w:t>исполнительного комитета</w:t>
            </w:r>
            <w:r>
              <w:br/>
              <w:t>22.02.2017 № 127)</w:t>
            </w:r>
          </w:p>
        </w:tc>
      </w:tr>
    </w:tbl>
    <w:p w:rsidR="00EA53E5" w:rsidRDefault="00EA53E5">
      <w:pPr>
        <w:pStyle w:val="newncpi"/>
      </w:pPr>
      <w:r>
        <w:t> </w:t>
      </w:r>
    </w:p>
    <w:p w:rsidR="00EA53E5" w:rsidRDefault="00EA53E5">
      <w:pPr>
        <w:pStyle w:val="newncpi"/>
        <w:jc w:val="right"/>
      </w:pPr>
      <w:r>
        <w:t>Форма</w:t>
      </w:r>
    </w:p>
    <w:p w:rsidR="00EA53E5" w:rsidRDefault="00EA53E5">
      <w:pPr>
        <w:pStyle w:val="newncpi"/>
        <w:jc w:val="center"/>
      </w:pPr>
      <w:r>
        <w:t>УТВЕРЖДЕНО</w:t>
      </w:r>
    </w:p>
    <w:p w:rsidR="00EA53E5" w:rsidRDefault="00EA53E5">
      <w:pPr>
        <w:pStyle w:val="newncpi"/>
        <w:ind w:firstLine="3119"/>
        <w:jc w:val="center"/>
      </w:pPr>
      <w:r>
        <w:t>__________________________________________________</w:t>
      </w:r>
    </w:p>
    <w:p w:rsidR="00EA53E5" w:rsidRDefault="00EA53E5">
      <w:pPr>
        <w:pStyle w:val="undline"/>
        <w:ind w:firstLine="3686"/>
      </w:pPr>
      <w:r>
        <w:t>(решение органа, осуществляющего владельческий надзор</w:t>
      </w:r>
      <w:proofErr w:type="gramStart"/>
      <w:r>
        <w:rPr>
          <w:vertAlign w:val="superscript"/>
        </w:rPr>
        <w:t>1</w:t>
      </w:r>
      <w:proofErr w:type="gramEnd"/>
      <w:r>
        <w:t>)</w:t>
      </w:r>
    </w:p>
    <w:p w:rsidR="00EA53E5" w:rsidRDefault="00EA53E5">
      <w:pPr>
        <w:pStyle w:val="newncpi"/>
        <w:ind w:firstLine="4253"/>
      </w:pPr>
      <w:r>
        <w:t>____ ___________ 20___ г. № ________</w:t>
      </w:r>
    </w:p>
    <w:p w:rsidR="00EA53E5" w:rsidRDefault="00EA53E5">
      <w:pPr>
        <w:pStyle w:val="newncpi"/>
        <w:jc w:val="center"/>
      </w:pPr>
      <w:r>
        <w:t> </w:t>
      </w:r>
    </w:p>
    <w:p w:rsidR="00EA53E5" w:rsidRDefault="00EA53E5">
      <w:pPr>
        <w:pStyle w:val="newncpi"/>
        <w:jc w:val="center"/>
      </w:pPr>
      <w:r>
        <w:t xml:space="preserve">Отчет за </w:t>
      </w:r>
      <w:proofErr w:type="spellStart"/>
      <w:r>
        <w:t>________год</w:t>
      </w:r>
      <w:proofErr w:type="spellEnd"/>
      <w:r>
        <w:br/>
        <w:t>представителя государства в органах управления хозяйственного общества, акции (доли в уставном фонде) которого принадлежат Минской области</w:t>
      </w:r>
    </w:p>
    <w:p w:rsidR="00EA53E5" w:rsidRDefault="00EA53E5">
      <w:pPr>
        <w:pStyle w:val="newncpi"/>
      </w:pPr>
      <w:r>
        <w:t>_________________________________________________________________________</w:t>
      </w:r>
    </w:p>
    <w:p w:rsidR="00EA53E5" w:rsidRDefault="00EA53E5">
      <w:pPr>
        <w:pStyle w:val="undline"/>
        <w:jc w:val="center"/>
      </w:pPr>
      <w:r>
        <w:t>(наименование хозяйственного общества)</w:t>
      </w:r>
    </w:p>
    <w:p w:rsidR="00EA53E5" w:rsidRDefault="00EA53E5">
      <w:pPr>
        <w:pStyle w:val="point"/>
      </w:pPr>
      <w:r>
        <w:t> </w:t>
      </w:r>
    </w:p>
    <w:p w:rsidR="00EA53E5" w:rsidRDefault="00EA53E5">
      <w:pPr>
        <w:pStyle w:val="point"/>
      </w:pPr>
      <w:r>
        <w:t>1. ОБЩИЕ СВЕДЕНИЯ.</w:t>
      </w:r>
    </w:p>
    <w:p w:rsidR="00EA53E5" w:rsidRDefault="00EA53E5">
      <w:pPr>
        <w:pStyle w:val="underpoint"/>
      </w:pPr>
      <w:r>
        <w:t>1.1. О хозяйственном обществе, акции (доли в уставном фонде) которого принадлежат Минской области (далее – хозяйственное общество):</w:t>
      </w:r>
    </w:p>
    <w:p w:rsidR="00EA53E5" w:rsidRDefault="00EA53E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251"/>
        <w:gridCol w:w="4130"/>
      </w:tblGrid>
      <w:tr w:rsidR="00EA53E5">
        <w:tc>
          <w:tcPr>
            <w:tcW w:w="27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 xml:space="preserve">Полное наименование </w:t>
            </w:r>
          </w:p>
        </w:tc>
        <w:tc>
          <w:tcPr>
            <w:tcW w:w="220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 xml:space="preserve">Адрес места нахождения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УНП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27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 xml:space="preserve">Наименование, адрес, телефон (факс) депозитария, осуществляющего депозитарный учет акций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</w:tbl>
    <w:p w:rsidR="00EA53E5" w:rsidRDefault="00EA53E5">
      <w:pPr>
        <w:pStyle w:val="newncpi"/>
      </w:pPr>
      <w:r>
        <w:t> </w:t>
      </w:r>
    </w:p>
    <w:p w:rsidR="00EA53E5" w:rsidRDefault="00EA53E5">
      <w:pPr>
        <w:pStyle w:val="underpoint"/>
      </w:pPr>
      <w:r>
        <w:t>1.2. Об уставном фонде хозяйственного общества на 31 декабря отчетного года:</w:t>
      </w:r>
    </w:p>
    <w:p w:rsidR="00EA53E5" w:rsidRDefault="00EA53E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61"/>
        <w:gridCol w:w="4120"/>
      </w:tblGrid>
      <w:tr w:rsidR="00EA53E5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proofErr w:type="gramStart"/>
            <w:r>
              <w:t>Размер уставного фонда (белорусских рублей (далее – руб.)</w:t>
            </w:r>
            <w:proofErr w:type="gramEnd"/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Количество выпущенных акций – всего (штук)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привилегированных акций (штук)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выкупленных на баланс хозяйственного общества (штук)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Номинальная стоимость акции (руб.)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</w:tbl>
    <w:p w:rsidR="00EA53E5" w:rsidRDefault="00EA53E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60"/>
        <w:gridCol w:w="2265"/>
        <w:gridCol w:w="1856"/>
      </w:tblGrid>
      <w:tr w:rsidR="00EA53E5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 xml:space="preserve">Доля в уставном фонде: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  <w:jc w:val="center"/>
            </w:pPr>
            <w:r>
              <w:t>штук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  <w:jc w:val="center"/>
            </w:pPr>
            <w:r>
              <w:t>%</w:t>
            </w:r>
          </w:p>
        </w:tc>
      </w:tr>
      <w:tr w:rsidR="00EA53E5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  <w:ind w:firstLine="414"/>
            </w:pPr>
            <w:r>
              <w:t xml:space="preserve">Республики Беларусь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  <w:ind w:firstLine="414"/>
            </w:pPr>
            <w:r>
              <w:t xml:space="preserve">административно-территориальной единицы: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  <w:ind w:firstLine="414"/>
            </w:pPr>
            <w:r>
              <w:t>области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  <w:ind w:firstLine="414"/>
            </w:pPr>
            <w:r>
              <w:t>района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  <w:ind w:firstLine="414"/>
            </w:pPr>
            <w:r>
              <w:t>города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  <w:ind w:firstLine="414"/>
            </w:pPr>
            <w:r>
              <w:t>юридических лиц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  <w:ind w:firstLine="414"/>
            </w:pPr>
            <w:r>
              <w:t>физических лиц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</w:tbl>
    <w:p w:rsidR="00EA53E5" w:rsidRDefault="00EA53E5">
      <w:pPr>
        <w:pStyle w:val="newncpi"/>
      </w:pPr>
      <w:r>
        <w:t> </w:t>
      </w:r>
    </w:p>
    <w:p w:rsidR="00EA53E5" w:rsidRDefault="00EA53E5">
      <w:pPr>
        <w:pStyle w:val="underpoint"/>
      </w:pPr>
      <w:r>
        <w:t>1.3. Представитель государства в органах управления хозяйственного общества (далее, если не указано иное, – представитель государства):</w:t>
      </w:r>
    </w:p>
    <w:p w:rsidR="00EA53E5" w:rsidRDefault="00EA53E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581"/>
        <w:gridCol w:w="2946"/>
        <w:gridCol w:w="2854"/>
      </w:tblGrid>
      <w:tr w:rsidR="00EA53E5">
        <w:tc>
          <w:tcPr>
            <w:tcW w:w="190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Инициалы, фамилия представителя государства</w:t>
            </w:r>
          </w:p>
        </w:tc>
        <w:tc>
          <w:tcPr>
            <w:tcW w:w="1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Место работы, должность, контактный телефон</w:t>
            </w:r>
          </w:p>
        </w:tc>
        <w:tc>
          <w:tcPr>
            <w:tcW w:w="1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Решение о назначении (дата, номер)</w:t>
            </w:r>
          </w:p>
        </w:tc>
      </w:tr>
      <w:tr w:rsidR="00EA53E5">
        <w:tc>
          <w:tcPr>
            <w:tcW w:w="190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</w:tbl>
    <w:p w:rsidR="00EA53E5" w:rsidRDefault="00EA53E5">
      <w:pPr>
        <w:pStyle w:val="newncpi"/>
      </w:pPr>
      <w:r>
        <w:t> </w:t>
      </w:r>
    </w:p>
    <w:p w:rsidR="00EA53E5" w:rsidRDefault="00EA53E5">
      <w:pPr>
        <w:pStyle w:val="underpoint"/>
      </w:pPr>
      <w:r>
        <w:t>1.4. Состав совета директоров (наблюдательного совета) хозяйственного общества:</w:t>
      </w:r>
    </w:p>
    <w:p w:rsidR="00EA53E5" w:rsidRDefault="00EA53E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596"/>
        <w:gridCol w:w="1685"/>
        <w:gridCol w:w="2597"/>
        <w:gridCol w:w="2503"/>
      </w:tblGrid>
      <w:tr w:rsidR="00EA53E5">
        <w:tc>
          <w:tcPr>
            <w:tcW w:w="13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Инициалы, фамилия члена совета директоров (наблюдательного совета)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Место работы, должность, контактный телефон</w:t>
            </w:r>
          </w:p>
        </w:tc>
        <w:tc>
          <w:tcPr>
            <w:tcW w:w="1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Количество голосов, принадлежащих членам совета директоров (наблюдательного совета)</w:t>
            </w:r>
          </w:p>
        </w:tc>
        <w:tc>
          <w:tcPr>
            <w:tcW w:w="1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Период работы в совете директоров (наблюдательном совете)</w:t>
            </w:r>
          </w:p>
        </w:tc>
      </w:tr>
      <w:tr w:rsidR="00EA53E5">
        <w:tc>
          <w:tcPr>
            <w:tcW w:w="1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1. Председатель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1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 xml:space="preserve">2.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1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 xml:space="preserve">3.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1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 xml:space="preserve">4.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13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 xml:space="preserve">и т. д.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</w:tbl>
    <w:p w:rsidR="00EA53E5" w:rsidRDefault="00EA53E5">
      <w:pPr>
        <w:pStyle w:val="newncpi"/>
      </w:pPr>
      <w:r>
        <w:t> </w:t>
      </w:r>
    </w:p>
    <w:p w:rsidR="00EA53E5" w:rsidRDefault="00EA53E5">
      <w:pPr>
        <w:pStyle w:val="point"/>
      </w:pPr>
      <w:r>
        <w:t>2. ПОКАЗАТЕЛИ ДЕЯТЕЛЬНОСТИ ХОЗЯЙСТВЕННОГО ОБЩЕСТВА.</w:t>
      </w:r>
    </w:p>
    <w:p w:rsidR="00EA53E5" w:rsidRDefault="00EA53E5">
      <w:pPr>
        <w:pStyle w:val="underpoint"/>
      </w:pPr>
      <w:r>
        <w:t>2.1. Основные показатели финансово-экономической деятельности:</w:t>
      </w:r>
    </w:p>
    <w:p w:rsidR="00EA53E5" w:rsidRDefault="00EA53E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22"/>
        <w:gridCol w:w="4375"/>
        <w:gridCol w:w="1946"/>
        <w:gridCol w:w="2638"/>
      </w:tblGrid>
      <w:tr w:rsidR="00EA53E5">
        <w:trPr>
          <w:trHeight w:val="238"/>
        </w:trPr>
        <w:tc>
          <w:tcPr>
            <w:tcW w:w="2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За отчетный год</w:t>
            </w:r>
          </w:p>
        </w:tc>
        <w:tc>
          <w:tcPr>
            <w:tcW w:w="14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За предыдущий год</w:t>
            </w:r>
          </w:p>
        </w:tc>
      </w:tr>
      <w:tr w:rsidR="00EA53E5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Выручка от реализации продукции, товаров, работ, услуг (руб.)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Себестоимость реализованной продукции, товаров, работ, услуг (руб.)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proofErr w:type="gramStart"/>
            <w:r>
              <w:t>Прибыль (убыток со знаком «минус») от реализации продукции, товаров, работ, услуг (руб.)</w:t>
            </w:r>
            <w:proofErr w:type="gram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Чистая прибыль (убыток со знаком «минус») (руб.)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Рентабельность реализованной продукции, товаров, работ, услуг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Рентабельность продаж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7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Рентабельность собственного капитала (%)</w:t>
            </w:r>
            <w:r>
              <w:rPr>
                <w:vertAlign w:val="superscript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8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Совокупная акционерная доходность (%)</w:t>
            </w:r>
            <w:r>
              <w:rPr>
                <w:vertAlign w:val="superscript"/>
              </w:rPr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9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Темп роста экспорта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Темп роста импорта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Показатель по энергосбережению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Среднесписочная численность работников (чел.)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Среднемесячная заработная плата работников (руб.)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Кредиторская задолженность – всего (руб.)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  <w:r>
              <w:t xml:space="preserve"> (руб.)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Задолженность по кредитам и займам – всего (руб.)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  <w:r>
              <w:t xml:space="preserve"> (руб.)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Дебиторская задолженность – всего (руб.)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  <w:r>
              <w:t xml:space="preserve"> (руб.)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Добавленная стоимость (руб.)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Добавленная стоимость на одного среднесписочного работника (производительность труда по добавленной стоимости) (руб. /чел.)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Стоимость чистых активов на конец периода (руб.)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Балансовая стоимость 1 акции (руб.)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rPr>
          <w:trHeight w:val="238"/>
        </w:trPr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Балансовая стоимость акций, находящихся в собственности Минской области (руб.)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</w:tbl>
    <w:p w:rsidR="00EA53E5" w:rsidRDefault="00EA53E5">
      <w:pPr>
        <w:pStyle w:val="newncpi"/>
      </w:pPr>
      <w:r>
        <w:t> </w:t>
      </w:r>
    </w:p>
    <w:p w:rsidR="00EA53E5" w:rsidRDefault="00EA53E5">
      <w:pPr>
        <w:pStyle w:val="underpoint"/>
      </w:pPr>
      <w:r>
        <w:t>2.2. Показатели платежеспособности:</w:t>
      </w:r>
    </w:p>
    <w:p w:rsidR="00EA53E5" w:rsidRDefault="00EA53E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22"/>
        <w:gridCol w:w="3023"/>
        <w:gridCol w:w="2011"/>
        <w:gridCol w:w="2011"/>
        <w:gridCol w:w="1914"/>
      </w:tblGrid>
      <w:tr w:rsidR="00EA53E5">
        <w:tc>
          <w:tcPr>
            <w:tcW w:w="2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На начало отчетного года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На конец отчетного года</w:t>
            </w:r>
          </w:p>
        </w:tc>
        <w:tc>
          <w:tcPr>
            <w:tcW w:w="10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Установленный норматив</w:t>
            </w:r>
          </w:p>
        </w:tc>
      </w:tr>
      <w:tr w:rsidR="00EA53E5"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Коэффициент текущей ликвидности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Коэффициент обеспеченности собственными оборотными средствами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Коэффициент обеспеченности обязательств активами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</w:tbl>
    <w:p w:rsidR="00EA53E5" w:rsidRDefault="00EA53E5">
      <w:pPr>
        <w:pStyle w:val="newncpi"/>
      </w:pPr>
      <w:r>
        <w:t> </w:t>
      </w:r>
    </w:p>
    <w:p w:rsidR="00EA53E5" w:rsidRDefault="00EA53E5">
      <w:pPr>
        <w:pStyle w:val="newncpi"/>
      </w:pPr>
      <w:r>
        <w:t>Оценка платежеспособности хозяйственного общества _________________________</w:t>
      </w:r>
    </w:p>
    <w:p w:rsidR="00EA53E5" w:rsidRDefault="00EA53E5">
      <w:pPr>
        <w:pStyle w:val="newncpi"/>
        <w:ind w:firstLine="0"/>
      </w:pPr>
      <w:r>
        <w:t>_____________________________________________________________________________</w:t>
      </w:r>
    </w:p>
    <w:p w:rsidR="00EA53E5" w:rsidRDefault="00EA53E5">
      <w:pPr>
        <w:pStyle w:val="newncpi"/>
      </w:pPr>
      <w:r>
        <w:t xml:space="preserve">Причины негативных </w:t>
      </w:r>
      <w:proofErr w:type="gramStart"/>
      <w:r>
        <w:t>изменений показателей финансового состояния деятельности общества</w:t>
      </w:r>
      <w:proofErr w:type="gramEnd"/>
      <w:r>
        <w:t>:</w:t>
      </w:r>
    </w:p>
    <w:p w:rsidR="00EA53E5" w:rsidRDefault="00EA53E5">
      <w:pPr>
        <w:pStyle w:val="newncpi"/>
      </w:pPr>
      <w:r>
        <w:t>внутренние______________________________________________________________</w:t>
      </w:r>
    </w:p>
    <w:p w:rsidR="00EA53E5" w:rsidRDefault="00EA53E5">
      <w:pPr>
        <w:pStyle w:val="newncpi"/>
      </w:pPr>
      <w:r>
        <w:t>внешние________________________________________________________________</w:t>
      </w:r>
    </w:p>
    <w:p w:rsidR="00EA53E5" w:rsidRDefault="00EA53E5">
      <w:pPr>
        <w:pStyle w:val="underpoint"/>
      </w:pPr>
      <w:r>
        <w:t> </w:t>
      </w:r>
    </w:p>
    <w:p w:rsidR="00EA53E5" w:rsidRDefault="00EA53E5">
      <w:pPr>
        <w:pStyle w:val="underpoint"/>
      </w:pPr>
      <w:r>
        <w:t>2.3. Информация о начислении и выплате дивидендов хозяйственным обществом:</w:t>
      </w:r>
    </w:p>
    <w:p w:rsidR="00EA53E5" w:rsidRDefault="00EA53E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7426"/>
        <w:gridCol w:w="1955"/>
      </w:tblGrid>
      <w:tr w:rsidR="00EA53E5">
        <w:tc>
          <w:tcPr>
            <w:tcW w:w="39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Сумма прибыли для расчета части прибыли, подлежащей перечислению хозяйственным обществом в республиканский и (или) местный бюджет (далее – бюджет) по результатам отчетного года (руб.)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3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Норматив исчисления части прибыли в соответствии с законодательством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3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 xml:space="preserve">Периодичность выплаты дивидендов в отчетном году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39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Дата проведения годового общего собрания, на котором объявлено</w:t>
            </w:r>
            <w:r>
              <w:br/>
              <w:t>о выплате дивидендов за отчетный год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</w:tbl>
    <w:p w:rsidR="00EA53E5" w:rsidRDefault="00EA53E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745"/>
        <w:gridCol w:w="1443"/>
        <w:gridCol w:w="1897"/>
        <w:gridCol w:w="1478"/>
        <w:gridCol w:w="1375"/>
        <w:gridCol w:w="1443"/>
      </w:tblGrid>
      <w:tr w:rsidR="00EA53E5">
        <w:tc>
          <w:tcPr>
            <w:tcW w:w="9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Сумма дивидендов, подлежащая перечислению в отчетном году (руб.)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Установленные в соответствии с законодательством сроки перечисления дивидендов в отчетном году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Сумма дивидендов, перечисленная в отчетном году (руб.)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Даты перечисления дивидендов и реквизиты платежных документов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Сумма дивидендов, подлежащая перечислению за отчетный год (руб.)</w:t>
            </w:r>
          </w:p>
        </w:tc>
      </w:tr>
      <w:tr w:rsidR="00EA53E5"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 xml:space="preserve">Республиканский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 xml:space="preserve">Областной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 xml:space="preserve">Районный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9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 xml:space="preserve">Городской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</w:tbl>
    <w:p w:rsidR="00EA53E5" w:rsidRDefault="00EA53E5">
      <w:pPr>
        <w:pStyle w:val="newncpi"/>
      </w:pPr>
      <w:r>
        <w:t> </w:t>
      </w:r>
    </w:p>
    <w:p w:rsidR="00EA53E5" w:rsidRDefault="00EA53E5">
      <w:pPr>
        <w:pStyle w:val="newncpi"/>
      </w:pPr>
      <w:r>
        <w:t>Факты и причины нарушения в отчетном году сроков выплаты дивидендов или перечисления их не в полном объеме: ____________________________________________</w:t>
      </w:r>
    </w:p>
    <w:p w:rsidR="00EA53E5" w:rsidRDefault="00EA53E5">
      <w:pPr>
        <w:pStyle w:val="newncpi"/>
        <w:ind w:firstLine="0"/>
      </w:pPr>
      <w:r>
        <w:t>_____________________________________________________________________________</w:t>
      </w:r>
    </w:p>
    <w:p w:rsidR="00EA53E5" w:rsidRDefault="00EA53E5">
      <w:pPr>
        <w:pStyle w:val="underpoint"/>
      </w:pPr>
      <w:r>
        <w:t> </w:t>
      </w:r>
    </w:p>
    <w:p w:rsidR="00EA53E5" w:rsidRDefault="00EA53E5">
      <w:pPr>
        <w:pStyle w:val="underpoint"/>
      </w:pPr>
      <w:r>
        <w:t>2.4. Выполнение показателей стратегии развития хозяйственного общества и (или) бизнес-плана, утвержденных советом директоров (наблюдательным советом) или общим собранием участников хозяйственного общества (если утверждение указанных документов отнесено к компетенции общего собрания участников хозяйственного общества):</w:t>
      </w:r>
    </w:p>
    <w:p w:rsidR="00EA53E5" w:rsidRDefault="00EA53E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452"/>
        <w:gridCol w:w="2443"/>
        <w:gridCol w:w="2064"/>
        <w:gridCol w:w="2422"/>
      </w:tblGrid>
      <w:tr w:rsidR="00EA53E5">
        <w:tc>
          <w:tcPr>
            <w:tcW w:w="13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Наименование показателя (единица измерения)</w:t>
            </w:r>
          </w:p>
        </w:tc>
        <w:tc>
          <w:tcPr>
            <w:tcW w:w="1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Утвержденное значение</w:t>
            </w:r>
          </w:p>
        </w:tc>
        <w:tc>
          <w:tcPr>
            <w:tcW w:w="1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Фактически достигнутое</w:t>
            </w:r>
          </w:p>
        </w:tc>
        <w:tc>
          <w:tcPr>
            <w:tcW w:w="12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Причины невыполнения</w:t>
            </w:r>
          </w:p>
        </w:tc>
      </w:tr>
      <w:tr w:rsidR="00EA53E5">
        <w:tc>
          <w:tcPr>
            <w:tcW w:w="13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</w:tbl>
    <w:p w:rsidR="00EA53E5" w:rsidRDefault="00EA53E5">
      <w:pPr>
        <w:pStyle w:val="newncpi"/>
      </w:pPr>
      <w:r>
        <w:t> </w:t>
      </w:r>
    </w:p>
    <w:p w:rsidR="00EA53E5" w:rsidRDefault="00EA53E5">
      <w:pPr>
        <w:pStyle w:val="underpoint"/>
      </w:pPr>
      <w:r>
        <w:t>2.5. Выполнение хозяйственным обществом доведенных органом, осуществляющим владельческий надзор, в соответствии с законодательством показателей социально-экономического развития:</w:t>
      </w:r>
    </w:p>
    <w:p w:rsidR="00EA53E5" w:rsidRDefault="00EA53E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452"/>
        <w:gridCol w:w="2443"/>
        <w:gridCol w:w="2064"/>
        <w:gridCol w:w="2422"/>
      </w:tblGrid>
      <w:tr w:rsidR="00EA53E5">
        <w:tc>
          <w:tcPr>
            <w:tcW w:w="13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Наименование показателя (единица измерения)</w:t>
            </w:r>
          </w:p>
        </w:tc>
        <w:tc>
          <w:tcPr>
            <w:tcW w:w="1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Утвержденное значение</w:t>
            </w:r>
          </w:p>
        </w:tc>
        <w:tc>
          <w:tcPr>
            <w:tcW w:w="1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Фактически достигнутое</w:t>
            </w:r>
          </w:p>
        </w:tc>
        <w:tc>
          <w:tcPr>
            <w:tcW w:w="12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Причины невыполнения</w:t>
            </w:r>
          </w:p>
        </w:tc>
      </w:tr>
      <w:tr w:rsidR="00EA53E5">
        <w:tc>
          <w:tcPr>
            <w:tcW w:w="13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</w:tbl>
    <w:p w:rsidR="00EA53E5" w:rsidRDefault="00EA53E5">
      <w:pPr>
        <w:pStyle w:val="newncpi"/>
      </w:pPr>
      <w:r>
        <w:t> </w:t>
      </w:r>
    </w:p>
    <w:p w:rsidR="00EA53E5" w:rsidRDefault="00EA53E5">
      <w:pPr>
        <w:pStyle w:val="underpoint"/>
      </w:pPr>
      <w:r>
        <w:t>2.6. Реализация инвестиционных проектов:</w:t>
      </w:r>
    </w:p>
    <w:p w:rsidR="00EA53E5" w:rsidRDefault="00EA53E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344"/>
        <w:gridCol w:w="2346"/>
        <w:gridCol w:w="2346"/>
        <w:gridCol w:w="2345"/>
      </w:tblGrid>
      <w:tr w:rsidR="00EA53E5">
        <w:tc>
          <w:tcPr>
            <w:tcW w:w="12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Наименование инвестиционного проекта, реализуемого в хозяйственном обществе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Сроки реализации инвестиционного проекта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Стоимость реализации инвестиционного проекта (руб.)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Степень реализации инвестиционного проекта на конец отчетного года</w:t>
            </w:r>
            <w:proofErr w:type="gramStart"/>
            <w:r>
              <w:t xml:space="preserve"> (%)</w:t>
            </w:r>
            <w:proofErr w:type="gramEnd"/>
          </w:p>
        </w:tc>
      </w:tr>
      <w:tr w:rsidR="00EA53E5">
        <w:tc>
          <w:tcPr>
            <w:tcW w:w="12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</w:tbl>
    <w:p w:rsidR="00EA53E5" w:rsidRDefault="00EA53E5">
      <w:pPr>
        <w:pStyle w:val="newncpi"/>
      </w:pPr>
      <w:r>
        <w:t> </w:t>
      </w:r>
    </w:p>
    <w:p w:rsidR="00EA53E5" w:rsidRDefault="00EA53E5">
      <w:pPr>
        <w:pStyle w:val="point"/>
      </w:pPr>
      <w:r>
        <w:t>3. СВЕДЕНИЯ О ДЕЯТЕЛЬНОСТИ ПРЕДСТАВИТЕЛЯ ГОСУДАРСТВА.</w:t>
      </w:r>
    </w:p>
    <w:p w:rsidR="00EA53E5" w:rsidRDefault="00EA53E5">
      <w:pPr>
        <w:pStyle w:val="underpoint"/>
      </w:pPr>
      <w:r>
        <w:t>3.1. Информация об участии представителя государства в общих собраниях участников хозяйственного общества, проведенных в отчетном году:</w:t>
      </w:r>
    </w:p>
    <w:p w:rsidR="00EA53E5" w:rsidRDefault="00EA53E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596"/>
        <w:gridCol w:w="994"/>
        <w:gridCol w:w="1587"/>
        <w:gridCol w:w="1587"/>
        <w:gridCol w:w="1587"/>
        <w:gridCol w:w="2030"/>
      </w:tblGrid>
      <w:tr w:rsidR="00EA53E5">
        <w:tc>
          <w:tcPr>
            <w:tcW w:w="8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Проведенные в отчетном году общие собрания участников (№ протокола, решения, дата)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Вопросы повестки дня</w:t>
            </w: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Участие представителя государства в общем собрании участников (да, нет: причины неучастия)</w:t>
            </w: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Вопросы, внесенные в повестку дня по инициативе представителя государства</w:t>
            </w: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Позиция представителя государства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Результат рассмотрения и голосования (принят/отклонен)</w:t>
            </w:r>
          </w:p>
        </w:tc>
      </w:tr>
      <w:tr w:rsidR="00EA53E5">
        <w:tc>
          <w:tcPr>
            <w:tcW w:w="8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</w:tbl>
    <w:p w:rsidR="00EA53E5" w:rsidRDefault="00EA53E5">
      <w:pPr>
        <w:pStyle w:val="newncpi"/>
      </w:pPr>
      <w:r>
        <w:t> </w:t>
      </w:r>
    </w:p>
    <w:p w:rsidR="00EA53E5" w:rsidRDefault="00EA53E5">
      <w:pPr>
        <w:pStyle w:val="newncpi"/>
      </w:pPr>
      <w:r>
        <w:t>Изменения и дополнения, внесенные в устав хозяйственного общества в отчетном году (в том числе по инициативе представителя государства): ________________________</w:t>
      </w:r>
    </w:p>
    <w:p w:rsidR="00EA53E5" w:rsidRDefault="00EA53E5">
      <w:pPr>
        <w:pStyle w:val="newncpi"/>
        <w:ind w:firstLine="0"/>
      </w:pPr>
      <w:r>
        <w:t>_____________________________________________________________________________</w:t>
      </w:r>
    </w:p>
    <w:p w:rsidR="00EA53E5" w:rsidRDefault="00EA53E5">
      <w:pPr>
        <w:pStyle w:val="underpoint"/>
      </w:pPr>
      <w:r>
        <w:t> </w:t>
      </w:r>
    </w:p>
    <w:p w:rsidR="00EA53E5" w:rsidRDefault="00EA53E5">
      <w:pPr>
        <w:pStyle w:val="underpoint"/>
      </w:pPr>
      <w:r>
        <w:t>3.2. Информация о работе представителя государства в качестве члена совета директоров (наблюдательного совета) в отчетном году:</w:t>
      </w:r>
    </w:p>
    <w:p w:rsidR="00EA53E5" w:rsidRDefault="00EA53E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567"/>
        <w:gridCol w:w="2565"/>
        <w:gridCol w:w="2024"/>
        <w:gridCol w:w="2225"/>
      </w:tblGrid>
      <w:tr w:rsidR="00EA53E5">
        <w:tc>
          <w:tcPr>
            <w:tcW w:w="13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Проведенные в отчетном году заседания совета директоров (наблюдательного совета) (№ протокола, дата)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Участие представителя государства в заседании совета директоров (наблюдательного совета) (да, нет: причины неучастия)</w:t>
            </w: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Вопросы, внесенные в повестку дня по инициативе представителя государства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Результат рассмотрения и голосования по вопросам, внесенным представителем государства в повестку дня</w:t>
            </w:r>
          </w:p>
        </w:tc>
      </w:tr>
      <w:tr w:rsidR="00EA53E5">
        <w:tc>
          <w:tcPr>
            <w:tcW w:w="13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</w:tbl>
    <w:p w:rsidR="00EA53E5" w:rsidRDefault="00EA53E5">
      <w:pPr>
        <w:pStyle w:val="newncpi"/>
      </w:pPr>
      <w:r>
        <w:t> </w:t>
      </w:r>
    </w:p>
    <w:p w:rsidR="00EA53E5" w:rsidRDefault="00EA53E5">
      <w:pPr>
        <w:pStyle w:val="underpoint"/>
      </w:pPr>
      <w:r>
        <w:t>3.3. Инициативные предложения представителя государства по повышению эффективности деятельности хозяйственного общества и предупреждению его экономической несостоятельности (банкротства), внесенные в отчетном году:</w:t>
      </w:r>
    </w:p>
    <w:p w:rsidR="00EA53E5" w:rsidRDefault="00EA53E5">
      <w:pPr>
        <w:pStyle w:val="newncpi"/>
        <w:ind w:firstLine="0"/>
      </w:pPr>
      <w:r>
        <w:t>_____________________________________________________________________________</w:t>
      </w:r>
    </w:p>
    <w:p w:rsidR="00EA53E5" w:rsidRDefault="00EA53E5">
      <w:pPr>
        <w:pStyle w:val="point"/>
      </w:pPr>
      <w:r>
        <w:t> </w:t>
      </w:r>
    </w:p>
    <w:p w:rsidR="00EA53E5" w:rsidRDefault="00EA53E5">
      <w:pPr>
        <w:pStyle w:val="point"/>
      </w:pPr>
      <w:r>
        <w:t>4. ИНФОРМАЦИЯ О НЕИСПОЛЬЗУЕМОМ НЕДВИЖИМОМ ИМУЩЕСТВЕ, НАХОДЯЩЕМСЯ В СОБСТВЕННОСТИ ХОЗЯЙСТВЕННОГО ОБЩЕСТВА.</w:t>
      </w:r>
    </w:p>
    <w:p w:rsidR="00EA53E5" w:rsidRDefault="00EA53E5">
      <w:pPr>
        <w:pStyle w:val="underpoint"/>
      </w:pPr>
      <w:r>
        <w:t> </w:t>
      </w:r>
    </w:p>
    <w:p w:rsidR="00EA53E5" w:rsidRDefault="00EA53E5">
      <w:pPr>
        <w:pStyle w:val="underpoint"/>
      </w:pPr>
      <w:r>
        <w:t>4.1. Сведения о неиспользуемом недвижимом имуществе, находящемся в собственности хозяйственного общества (далее – объекты):</w:t>
      </w:r>
    </w:p>
    <w:p w:rsidR="00EA53E5" w:rsidRDefault="00EA53E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756"/>
        <w:gridCol w:w="1756"/>
        <w:gridCol w:w="2467"/>
        <w:gridCol w:w="3402"/>
      </w:tblGrid>
      <w:tr w:rsidR="00EA53E5">
        <w:tc>
          <w:tcPr>
            <w:tcW w:w="5000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  <w:jc w:val="center"/>
            </w:pPr>
            <w:r>
              <w:t>Количество объектов (штук)</w:t>
            </w:r>
          </w:p>
        </w:tc>
      </w:tr>
      <w:tr w:rsidR="00EA53E5"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по состоянию на 1 января отчетного года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по состоянию на 31 декабря отчетного года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proofErr w:type="gramStart"/>
            <w:r>
              <w:t>вовлеченных</w:t>
            </w:r>
            <w:proofErr w:type="gramEnd"/>
            <w:r>
              <w:t xml:space="preserve"> в хозяйственный оборот в отчетном году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proofErr w:type="gramStart"/>
            <w:r>
              <w:t>снесенных</w:t>
            </w:r>
            <w:proofErr w:type="gramEnd"/>
            <w:r>
              <w:t>, законсервированных в отчетном году</w:t>
            </w:r>
          </w:p>
        </w:tc>
      </w:tr>
      <w:tr w:rsidR="00EA53E5">
        <w:tc>
          <w:tcPr>
            <w:tcW w:w="9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</w:tbl>
    <w:p w:rsidR="00EA53E5" w:rsidRDefault="00EA53E5">
      <w:pPr>
        <w:pStyle w:val="newncpi"/>
      </w:pPr>
      <w:r>
        <w:t> </w:t>
      </w:r>
    </w:p>
    <w:p w:rsidR="00EA53E5" w:rsidRDefault="00EA53E5">
      <w:pPr>
        <w:pStyle w:val="point"/>
      </w:pPr>
      <w:r>
        <w:t>5. ИНФОРМАЦИЯ О РАЗМЕРЕ ВОЗНАГРАЖДЕНИЯ, ВЫПЛАЧЕННОГО ЗА ОТЧЕТНЫЙ ГОД ПРЕДСТАВИТЕЛЮ ГОСУДАРСТВА.</w:t>
      </w:r>
    </w:p>
    <w:p w:rsidR="00EA53E5" w:rsidRDefault="00EA53E5">
      <w:pPr>
        <w:pStyle w:val="newncpi"/>
        <w:ind w:firstLine="0"/>
      </w:pPr>
      <w:r>
        <w:t>_____________________________________________________________________________</w:t>
      </w:r>
    </w:p>
    <w:p w:rsidR="00EA53E5" w:rsidRDefault="00EA53E5">
      <w:pPr>
        <w:pStyle w:val="undline"/>
        <w:jc w:val="center"/>
      </w:pPr>
      <w:r>
        <w:t>(инициалы, фамилия представителя государства)</w:t>
      </w:r>
    </w:p>
    <w:p w:rsidR="00EA53E5" w:rsidRDefault="00EA53E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355"/>
        <w:gridCol w:w="2302"/>
        <w:gridCol w:w="2362"/>
        <w:gridCol w:w="2362"/>
      </w:tblGrid>
      <w:tr w:rsidR="00EA53E5">
        <w:tc>
          <w:tcPr>
            <w:tcW w:w="12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Период, за который выплачивалось вознаграждение</w:t>
            </w:r>
          </w:p>
        </w:tc>
        <w:tc>
          <w:tcPr>
            <w:tcW w:w="1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Рентабельность за отчетный квартал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Установленный размер вознаграждения (базовых величин)</w:t>
            </w:r>
          </w:p>
        </w:tc>
        <w:tc>
          <w:tcPr>
            <w:tcW w:w="12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Выплаченная сумма вознаграждения (руб.)</w:t>
            </w:r>
          </w:p>
        </w:tc>
      </w:tr>
      <w:tr w:rsidR="00EA53E5"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I квартал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II квартал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III квартал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12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IV квартал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</w:tbl>
    <w:p w:rsidR="00EA53E5" w:rsidRDefault="00EA53E5">
      <w:pPr>
        <w:pStyle w:val="newncpi"/>
      </w:pPr>
      <w:r>
        <w:t> </w:t>
      </w:r>
    </w:p>
    <w:p w:rsidR="00EA53E5" w:rsidRDefault="00EA53E5">
      <w:pPr>
        <w:pStyle w:val="newncpi"/>
      </w:pPr>
      <w:r>
        <w:t>Представитель государства</w:t>
      </w:r>
    </w:p>
    <w:p w:rsidR="00EA53E5" w:rsidRDefault="00EA53E5">
      <w:pPr>
        <w:pStyle w:val="newncpi"/>
        <w:ind w:firstLine="0"/>
      </w:pPr>
      <w:r>
        <w:t>______________________________________________________________________________</w:t>
      </w:r>
    </w:p>
    <w:p w:rsidR="00EA53E5" w:rsidRDefault="00EA53E5">
      <w:pPr>
        <w:pStyle w:val="undline"/>
        <w:jc w:val="center"/>
      </w:pPr>
      <w:r>
        <w:t>(наименование хозяйственного общества)</w:t>
      </w:r>
    </w:p>
    <w:p w:rsidR="00EA53E5" w:rsidRDefault="00EA53E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42"/>
        <w:gridCol w:w="176"/>
        <w:gridCol w:w="2006"/>
        <w:gridCol w:w="261"/>
        <w:gridCol w:w="4696"/>
      </w:tblGrid>
      <w:tr w:rsidR="00EA53E5">
        <w:tc>
          <w:tcPr>
            <w:tcW w:w="11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25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11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25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undline"/>
              <w:jc w:val="center"/>
            </w:pPr>
            <w:r>
              <w:t>(инициалы, фамилия представителя государства)</w:t>
            </w:r>
          </w:p>
        </w:tc>
      </w:tr>
    </w:tbl>
    <w:p w:rsidR="00EA53E5" w:rsidRDefault="00EA53E5">
      <w:pPr>
        <w:pStyle w:val="newncpi"/>
      </w:pPr>
      <w:r>
        <w:t> </w:t>
      </w:r>
    </w:p>
    <w:p w:rsidR="00EA53E5" w:rsidRDefault="00EA53E5">
      <w:pPr>
        <w:pStyle w:val="snoskiline"/>
      </w:pPr>
      <w:r>
        <w:t>______________________________</w:t>
      </w:r>
    </w:p>
    <w:p w:rsidR="00EA53E5" w:rsidRDefault="00EA53E5">
      <w:pPr>
        <w:pStyle w:val="snoski"/>
      </w:pPr>
      <w:proofErr w:type="gramStart"/>
      <w:r>
        <w:rPr>
          <w:vertAlign w:val="superscript"/>
        </w:rPr>
        <w:t>1</w:t>
      </w:r>
      <w:r>
        <w:t>Органы, осуществляющие владельческий надзор, – комитеты, управления, отделы облисполкома, государственные объединения, коммунальные унитарные предприятия, учреждения, созданные для осуществления управленческих функций, уполномоченные облисполкомом управлять акциями (долями в уставных фондах) хозяйственных обществ (товариществ), принадлежащими Минской области.</w:t>
      </w:r>
      <w:proofErr w:type="gramEnd"/>
    </w:p>
    <w:p w:rsidR="00EA53E5" w:rsidRDefault="00EA53E5">
      <w:pPr>
        <w:pStyle w:val="snoski"/>
        <w:spacing w:after="240"/>
      </w:pPr>
      <w:r>
        <w:rPr>
          <w:vertAlign w:val="superscript"/>
        </w:rPr>
        <w:t>2</w:t>
      </w:r>
      <w:r>
        <w:t>Рентабельность собственного капитала</w:t>
      </w:r>
      <w:proofErr w:type="gramStart"/>
      <w:r>
        <w:t xml:space="preserve"> (%) – </w:t>
      </w:r>
      <w:proofErr w:type="gramEnd"/>
      <w:r>
        <w:t>отношение чистой прибыли хозяйственного общества к среднегодовой величине собственного капитала. Рассчитывается по следующей формуле:</w:t>
      </w:r>
    </w:p>
    <w:p w:rsidR="00EA53E5" w:rsidRDefault="00EA53E5">
      <w:pPr>
        <w:pStyle w:val="newncpi"/>
      </w:pPr>
      <w:r>
        <w:t> </w:t>
      </w:r>
    </w:p>
    <w:tbl>
      <w:tblPr>
        <w:tblW w:w="2197" w:type="pct"/>
        <w:jc w:val="center"/>
        <w:tblCellMar>
          <w:left w:w="0" w:type="dxa"/>
          <w:right w:w="0" w:type="dxa"/>
        </w:tblCellMar>
        <w:tblLook w:val="04A0"/>
      </w:tblPr>
      <w:tblGrid>
        <w:gridCol w:w="1215"/>
        <w:gridCol w:w="1912"/>
        <w:gridCol w:w="995"/>
      </w:tblGrid>
      <w:tr w:rsidR="00EA53E5">
        <w:trPr>
          <w:trHeight w:val="66"/>
          <w:jc w:val="center"/>
        </w:trPr>
        <w:tc>
          <w:tcPr>
            <w:tcW w:w="147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snoski"/>
              <w:spacing w:line="66" w:lineRule="atLeast"/>
              <w:ind w:firstLine="0"/>
              <w:jc w:val="right"/>
            </w:pPr>
            <w:r>
              <w:t>РК=</w:t>
            </w:r>
          </w:p>
        </w:tc>
        <w:tc>
          <w:tcPr>
            <w:tcW w:w="23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53E5" w:rsidRDefault="00EA53E5">
            <w:pPr>
              <w:pStyle w:val="snoski"/>
              <w:spacing w:line="66" w:lineRule="atLeast"/>
              <w:ind w:firstLine="0"/>
              <w:jc w:val="center"/>
            </w:pPr>
            <w:r>
              <w:t>ЧП</w:t>
            </w:r>
          </w:p>
        </w:tc>
        <w:tc>
          <w:tcPr>
            <w:tcW w:w="120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snoski"/>
              <w:spacing w:line="66" w:lineRule="atLeast"/>
              <w:ind w:firstLine="0"/>
              <w:jc w:val="left"/>
            </w:pPr>
            <w:proofErr w:type="spellStart"/>
            <w:r>
              <w:t>х</w:t>
            </w:r>
            <w:proofErr w:type="spellEnd"/>
            <w:r>
              <w:t xml:space="preserve"> 100%</w:t>
            </w:r>
          </w:p>
        </w:tc>
      </w:tr>
      <w:tr w:rsidR="00EA53E5">
        <w:trPr>
          <w:trHeight w:val="51"/>
          <w:jc w:val="center"/>
        </w:trPr>
        <w:tc>
          <w:tcPr>
            <w:tcW w:w="0" w:type="auto"/>
            <w:vMerge/>
            <w:vAlign w:val="center"/>
            <w:hideMark/>
          </w:tcPr>
          <w:p w:rsidR="00EA53E5" w:rsidRDefault="00EA53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snoski"/>
              <w:spacing w:line="51" w:lineRule="atLeast"/>
              <w:ind w:firstLine="0"/>
              <w:jc w:val="center"/>
            </w:pPr>
            <w:r>
              <w:t>(</w:t>
            </w:r>
            <w:proofErr w:type="spellStart"/>
            <w:r>
              <w:t>ЧА</w:t>
            </w:r>
            <w:r>
              <w:rPr>
                <w:vertAlign w:val="subscript"/>
              </w:rPr>
              <w:t>нач</w:t>
            </w:r>
            <w:r>
              <w:t>+ЧА</w:t>
            </w:r>
            <w:r>
              <w:rPr>
                <w:vertAlign w:val="subscript"/>
              </w:rPr>
              <w:t>кон</w:t>
            </w:r>
            <w:proofErr w:type="spellEnd"/>
            <w:r>
              <w:t>)/2</w:t>
            </w:r>
          </w:p>
        </w:tc>
        <w:tc>
          <w:tcPr>
            <w:tcW w:w="0" w:type="auto"/>
            <w:vMerge/>
            <w:vAlign w:val="center"/>
            <w:hideMark/>
          </w:tcPr>
          <w:p w:rsidR="00EA53E5" w:rsidRDefault="00EA53E5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A53E5" w:rsidRDefault="00EA53E5">
      <w:pPr>
        <w:pStyle w:val="snoski"/>
      </w:pPr>
      <w:r>
        <w:t>где:</w:t>
      </w:r>
    </w:p>
    <w:p w:rsidR="00EA53E5" w:rsidRDefault="00EA53E5">
      <w:pPr>
        <w:pStyle w:val="snoski"/>
      </w:pPr>
      <w:r>
        <w:t>ЧП – чистая прибыль за отчетный период;</w:t>
      </w:r>
    </w:p>
    <w:p w:rsidR="00EA53E5" w:rsidRDefault="00EA53E5">
      <w:pPr>
        <w:pStyle w:val="snoski"/>
      </w:pPr>
      <w:proofErr w:type="spellStart"/>
      <w:r>
        <w:t>ЧА</w:t>
      </w:r>
      <w:r>
        <w:rPr>
          <w:vertAlign w:val="subscript"/>
        </w:rPr>
        <w:t>кон</w:t>
      </w:r>
      <w:proofErr w:type="spellEnd"/>
      <w:r>
        <w:t> – стоимость чистых активов на конец периода;</w:t>
      </w:r>
    </w:p>
    <w:p w:rsidR="00EA53E5" w:rsidRDefault="00EA53E5">
      <w:pPr>
        <w:pStyle w:val="snoski"/>
      </w:pPr>
      <w:proofErr w:type="spellStart"/>
      <w:r>
        <w:t>ЧА</w:t>
      </w:r>
      <w:r>
        <w:rPr>
          <w:vertAlign w:val="subscript"/>
        </w:rPr>
        <w:t>нач</w:t>
      </w:r>
      <w:proofErr w:type="spellEnd"/>
      <w:r>
        <w:t> – стоимость чистых активов на начало периода.</w:t>
      </w:r>
    </w:p>
    <w:p w:rsidR="00EA53E5" w:rsidRDefault="00EA53E5">
      <w:pPr>
        <w:pStyle w:val="snoski"/>
      </w:pPr>
      <w:r>
        <w:t> </w:t>
      </w:r>
    </w:p>
    <w:p w:rsidR="00EA53E5" w:rsidRDefault="00EA53E5">
      <w:pPr>
        <w:pStyle w:val="snoski"/>
      </w:pPr>
      <w:r>
        <w:rPr>
          <w:vertAlign w:val="superscript"/>
        </w:rPr>
        <w:t>3</w:t>
      </w:r>
      <w:r>
        <w:t>Совокупная акционерная доходность</w:t>
      </w:r>
      <w:proofErr w:type="gramStart"/>
      <w:r>
        <w:t xml:space="preserve"> (%) – </w:t>
      </w:r>
      <w:proofErr w:type="gramEnd"/>
      <w:r>
        <w:t>обобщающий показатель для оценки годовых результатов доходности по акциям хозяйственного общества в результате изменения стоимости чистых активов и начисления дивидендов. Рассчитывается по следующей формуле:</w:t>
      </w:r>
    </w:p>
    <w:p w:rsidR="00EA53E5" w:rsidRDefault="00EA53E5">
      <w:pPr>
        <w:pStyle w:val="snoski"/>
      </w:pPr>
      <w:r>
        <w:t> </w:t>
      </w:r>
    </w:p>
    <w:tbl>
      <w:tblPr>
        <w:tblW w:w="1537" w:type="pct"/>
        <w:jc w:val="center"/>
        <w:tblCellMar>
          <w:left w:w="0" w:type="dxa"/>
          <w:right w:w="0" w:type="dxa"/>
        </w:tblCellMar>
        <w:tblLook w:val="04A0"/>
      </w:tblPr>
      <w:tblGrid>
        <w:gridCol w:w="1985"/>
        <w:gridCol w:w="899"/>
      </w:tblGrid>
      <w:tr w:rsidR="00EA53E5">
        <w:trPr>
          <w:jc w:val="center"/>
        </w:trPr>
        <w:tc>
          <w:tcPr>
            <w:tcW w:w="34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53E5" w:rsidRDefault="00EA53E5">
            <w:pPr>
              <w:pStyle w:val="snoski"/>
              <w:ind w:firstLine="0"/>
              <w:jc w:val="center"/>
            </w:pPr>
            <w:r>
              <w:t>(</w:t>
            </w:r>
            <w:proofErr w:type="spellStart"/>
            <w:r>
              <w:t>Бст</w:t>
            </w:r>
            <w:r>
              <w:rPr>
                <w:vertAlign w:val="subscript"/>
              </w:rPr>
              <w:t>кон</w:t>
            </w:r>
            <w:r>
              <w:t>-Бст</w:t>
            </w:r>
            <w:r>
              <w:rPr>
                <w:vertAlign w:val="subscript"/>
              </w:rPr>
              <w:t>нач</w:t>
            </w:r>
            <w:proofErr w:type="spellEnd"/>
            <w:r>
              <w:t>)+Д</w:t>
            </w:r>
          </w:p>
        </w:tc>
        <w:tc>
          <w:tcPr>
            <w:tcW w:w="155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snoski"/>
              <w:ind w:firstLine="0"/>
            </w:pPr>
            <w:proofErr w:type="spellStart"/>
            <w:r>
              <w:t>х</w:t>
            </w:r>
            <w:proofErr w:type="spellEnd"/>
            <w:r>
              <w:t xml:space="preserve"> 100%</w:t>
            </w:r>
          </w:p>
        </w:tc>
      </w:tr>
      <w:tr w:rsidR="00EA53E5">
        <w:trPr>
          <w:jc w:val="center"/>
        </w:trPr>
        <w:tc>
          <w:tcPr>
            <w:tcW w:w="34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snoski"/>
            </w:pPr>
            <w:proofErr w:type="spellStart"/>
            <w:r>
              <w:t>Бст</w:t>
            </w:r>
            <w:r>
              <w:rPr>
                <w:vertAlign w:val="subscript"/>
              </w:rPr>
              <w:t>кон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EA53E5" w:rsidRDefault="00EA53E5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A53E5" w:rsidRDefault="00EA53E5">
      <w:pPr>
        <w:pStyle w:val="snoski"/>
      </w:pPr>
      <w:r>
        <w:t>где:</w:t>
      </w:r>
    </w:p>
    <w:p w:rsidR="00EA53E5" w:rsidRDefault="00EA53E5">
      <w:pPr>
        <w:pStyle w:val="snoski"/>
      </w:pPr>
      <w:proofErr w:type="spellStart"/>
      <w:r>
        <w:t>Бст</w:t>
      </w:r>
      <w:r>
        <w:rPr>
          <w:vertAlign w:val="subscript"/>
        </w:rPr>
        <w:t>кон</w:t>
      </w:r>
      <w:proofErr w:type="spellEnd"/>
      <w:r>
        <w:t> – балансовая стоимость акций (стоимость чистых активов) на конец периода;</w:t>
      </w:r>
    </w:p>
    <w:p w:rsidR="00EA53E5" w:rsidRDefault="00EA53E5">
      <w:pPr>
        <w:pStyle w:val="snoski"/>
      </w:pPr>
      <w:proofErr w:type="spellStart"/>
      <w:r>
        <w:t>Бст</w:t>
      </w:r>
      <w:r>
        <w:rPr>
          <w:vertAlign w:val="subscript"/>
        </w:rPr>
        <w:t>нач</w:t>
      </w:r>
      <w:proofErr w:type="spellEnd"/>
      <w:r>
        <w:t> – балансовая стоимость акций (стоимость чистых активов) на начало периода;</w:t>
      </w:r>
    </w:p>
    <w:p w:rsidR="00EA53E5" w:rsidRDefault="00EA53E5">
      <w:pPr>
        <w:pStyle w:val="snoski"/>
      </w:pPr>
      <w:r>
        <w:t>Д – сумма дивидендов, перечисленная в отчетном периоде.</w:t>
      </w:r>
    </w:p>
    <w:p w:rsidR="00EA53E5" w:rsidRDefault="00EA53E5">
      <w:pPr>
        <w:pStyle w:val="newncpi"/>
      </w:pPr>
      <w:r>
        <w:t> </w:t>
      </w:r>
    </w:p>
    <w:p w:rsidR="00EA53E5" w:rsidRDefault="00EA53E5">
      <w:pPr>
        <w:pStyle w:val="newncpi"/>
        <w:jc w:val="right"/>
      </w:pPr>
      <w:r>
        <w:t>Оборотная сторона</w:t>
      </w:r>
    </w:p>
    <w:p w:rsidR="00EA53E5" w:rsidRDefault="00EA53E5">
      <w:pPr>
        <w:pStyle w:val="newncpi"/>
        <w:jc w:val="right"/>
      </w:pPr>
      <w:r>
        <w:t> </w:t>
      </w:r>
    </w:p>
    <w:p w:rsidR="00EA53E5" w:rsidRDefault="00EA53E5">
      <w:pPr>
        <w:pStyle w:val="newncpi"/>
      </w:pPr>
      <w:r>
        <w:t>ОЦЕНКА ДЕЯТЕЛЬНОСТИ ПРЕДСТАВИТЕЛЯ ГОСУДАРСТВА В ОТЧЕТНОМ ГОДУ*</w:t>
      </w:r>
    </w:p>
    <w:p w:rsidR="00EA53E5" w:rsidRDefault="00EA53E5">
      <w:pPr>
        <w:pStyle w:val="newncpi"/>
        <w:ind w:firstLine="0"/>
        <w:jc w:val="center"/>
      </w:pPr>
      <w:r>
        <w:t>_________________________________________________________________________</w:t>
      </w:r>
    </w:p>
    <w:p w:rsidR="00EA53E5" w:rsidRDefault="00EA53E5">
      <w:pPr>
        <w:pStyle w:val="undline"/>
        <w:jc w:val="center"/>
      </w:pPr>
      <w:r>
        <w:t>(инициалы, фамилия представителя государства)</w:t>
      </w:r>
    </w:p>
    <w:p w:rsidR="00EA53E5" w:rsidRDefault="00EA53E5">
      <w:pPr>
        <w:pStyle w:val="newncpi"/>
      </w:pPr>
      <w:r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7961"/>
        <w:gridCol w:w="1420"/>
      </w:tblGrid>
      <w:tr w:rsidR="00EA53E5">
        <w:tc>
          <w:tcPr>
            <w:tcW w:w="424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Критерии оценки деятельности представителя государства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53E5" w:rsidRDefault="00EA53E5">
            <w:pPr>
              <w:pStyle w:val="table10"/>
              <w:jc w:val="center"/>
            </w:pPr>
            <w:r>
              <w:t>Баллы</w:t>
            </w:r>
          </w:p>
        </w:tc>
      </w:tr>
      <w:tr w:rsidR="00EA53E5">
        <w:tc>
          <w:tcPr>
            <w:tcW w:w="4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1. Участие в работе органов управления хозяйственного общества (в соответствии с подпунктами 3.1 и 3.2 пункта 3 отчета) (более 80 % – 5 баллов; от 50 % до 80 % (включительно) – 3 балла; менее 50 % – 1 балл)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4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 xml:space="preserve">2. </w:t>
            </w:r>
            <w:proofErr w:type="gramStart"/>
            <w:r>
              <w:t>Выполнение хозяйственным обществом показателей стратегии развития хозяйственного общества и (или) бизнес-плана, утвержденных его органами управления, и (или) показателей социально-экономического развития, доведенных органом, осуществляющим владельческий надзор, в соответствии с законодательством 100 % утвержденных показателей – 5 баллов; более 80 %, но менее 100 % – 3 балла; от 50 % до 80 % (включительно) – 2 балла; менее 50 % – 1 балл)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4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3. Инициативные предложения представителя государства по повышению эффективности деятельности хозяйственного общества и (или) предупреждению его экономической несостоятельности (банкротства) (такие предложения представителя были успешно реализованы хозяйственным обществом в отчетном году – 5 баллов; были предложения – 2 – 3 балла; не было предложений – 0 баллов)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4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 xml:space="preserve">4.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полнотой и своевременностью перечисления в бюджет Минской области дивидендов (доходов), начисленных на акции (долю в уставном фонде) хозяйственного общества, принадлежащие Минской области (при соблюдении хозяйственным обществом порядка и сроков перечисления дивидендов (доходов) – 3 балла; при наличии 1 случая нарушения порядка и сроков перечисления дивидендов (доходов) – 1 балл; при наличии 2 и более случаев нарушения порядка и сроков перечисления дивидендов (доходов), а также в случаях невыплаты или </w:t>
            </w:r>
            <w:proofErr w:type="spellStart"/>
            <w:r>
              <w:t>неперечисления</w:t>
            </w:r>
            <w:proofErr w:type="spellEnd"/>
            <w:r>
              <w:t xml:space="preserve"> дивидендов (доходов) – 0 баллов)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4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 xml:space="preserve">5. </w:t>
            </w:r>
            <w:proofErr w:type="gramStart"/>
            <w:r>
              <w:t>Результаты деятельности, направленной на вовлечение в хозяйственный оборот неиспользуемых объектов недвижимости (вовлечено более 80 % объектов – 5 баллов; вовлечено от 50 % до 80 % (включительно) объектов – 3 балла; вовлечено более 30 %, но менее 50 % объектов – 2 балла; вовлечено 30 % и менее объектов – 0 баллов; при отсутствии у общества неиспользуемых объектов недвижимости – 1 балл)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 xml:space="preserve">6. Реализуемые обществом мероприятия по совершенствованию корпоративного управления (принятие обществом корпоративного кодекса – 5 баллов; принятие иных локальных нормативных правовых актов по корпоративному управлению (внесение в них изменений и дополнений) – 3 балла; отсутствие принятых мер – 0 баллов)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Общее количество баллов, присвоенных по всем критериям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</w:tbl>
    <w:p w:rsidR="00EA53E5" w:rsidRDefault="00EA53E5">
      <w:pPr>
        <w:pStyle w:val="newncpi"/>
      </w:pPr>
      <w:r>
        <w:t> </w:t>
      </w:r>
    </w:p>
    <w:p w:rsidR="00EA53E5" w:rsidRDefault="00EA53E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64"/>
        <w:gridCol w:w="141"/>
        <w:gridCol w:w="2274"/>
        <w:gridCol w:w="143"/>
        <w:gridCol w:w="1422"/>
        <w:gridCol w:w="141"/>
        <w:gridCol w:w="3696"/>
      </w:tblGrid>
      <w:tr w:rsidR="00EA53E5">
        <w:trPr>
          <w:trHeight w:val="240"/>
        </w:trPr>
        <w:tc>
          <w:tcPr>
            <w:tcW w:w="8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9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</w:tr>
      <w:tr w:rsidR="00EA53E5">
        <w:trPr>
          <w:trHeight w:val="240"/>
        </w:trPr>
        <w:tc>
          <w:tcPr>
            <w:tcW w:w="8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2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table10"/>
            </w:pPr>
            <w:r>
              <w:t> </w:t>
            </w:r>
          </w:p>
        </w:tc>
        <w:tc>
          <w:tcPr>
            <w:tcW w:w="19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3E5" w:rsidRDefault="00EA53E5">
            <w:pPr>
              <w:pStyle w:val="undline"/>
              <w:jc w:val="center"/>
            </w:pPr>
            <w:r>
              <w:t>(инициалы, фамилия представителя государства)</w:t>
            </w:r>
          </w:p>
        </w:tc>
      </w:tr>
    </w:tbl>
    <w:p w:rsidR="00EA53E5" w:rsidRDefault="00EA53E5">
      <w:pPr>
        <w:pStyle w:val="newncpi"/>
      </w:pPr>
      <w:r>
        <w:t> </w:t>
      </w:r>
    </w:p>
    <w:p w:rsidR="00EA53E5" w:rsidRDefault="00EA53E5">
      <w:pPr>
        <w:pStyle w:val="snoskiline"/>
      </w:pPr>
      <w:r>
        <w:t>______________________________</w:t>
      </w:r>
    </w:p>
    <w:p w:rsidR="00EA53E5" w:rsidRDefault="00EA53E5">
      <w:pPr>
        <w:pStyle w:val="snoski"/>
        <w:spacing w:after="240"/>
      </w:pPr>
      <w:r>
        <w:t xml:space="preserve">*Заполняется должностным лицом органа, осуществляющего владельческий надзор, к компетенции которого относится </w:t>
      </w:r>
      <w:proofErr w:type="gramStart"/>
      <w:r>
        <w:t>контроль за</w:t>
      </w:r>
      <w:proofErr w:type="gramEnd"/>
      <w:r>
        <w:t xml:space="preserve"> деятельностью представителей государства.</w:t>
      </w:r>
    </w:p>
    <w:p w:rsidR="00EA53E5" w:rsidRDefault="00EA53E5">
      <w:pPr>
        <w:pStyle w:val="comment"/>
      </w:pPr>
      <w:r>
        <w:t>Примечания:</w:t>
      </w:r>
    </w:p>
    <w:p w:rsidR="00EA53E5" w:rsidRDefault="00EA53E5">
      <w:pPr>
        <w:pStyle w:val="comment"/>
      </w:pPr>
      <w:r>
        <w:t>Общее количество баллов от 12 до 28 включительно подтверждает, что представитель государства соответствует предъявляемым к нему требованиям.</w:t>
      </w:r>
    </w:p>
    <w:p w:rsidR="00EA53E5" w:rsidRDefault="00EA53E5">
      <w:pPr>
        <w:pStyle w:val="comment"/>
      </w:pPr>
      <w:r>
        <w:t>Общее количество баллов менее 12 свидетельствует о несоответствии представителя государства предъявляемым к нему требованиям.</w:t>
      </w:r>
    </w:p>
    <w:p w:rsidR="00EA53E5" w:rsidRDefault="00EA53E5">
      <w:pPr>
        <w:pStyle w:val="comment"/>
      </w:pPr>
      <w:r>
        <w:t>Представитель государства, осуществлявший свои полномочия от 3 до 6 календарных месяцев (включительно) отчетного года, оценивается только по критериям, установленным в пунктах 1, 3, 4, 6 за период исполнения обязанностей представителя государства. При этом количество баллов от 7 до 18 включительно подтверждает, что представитель государства соответствует предъявляемым к нему требованиям.</w:t>
      </w:r>
    </w:p>
    <w:p w:rsidR="00EA53E5" w:rsidRDefault="00EA53E5">
      <w:pPr>
        <w:pStyle w:val="comment"/>
      </w:pPr>
      <w:r>
        <w:t>Представитель государства, осуществлявший свои полномочия менее 3 календарных месяцев отчетного года, не оценивается.</w:t>
      </w:r>
    </w:p>
    <w:p w:rsidR="00EA53E5" w:rsidRDefault="00EA53E5">
      <w:pPr>
        <w:pStyle w:val="newncpi"/>
      </w:pPr>
      <w:r>
        <w:t> </w:t>
      </w:r>
    </w:p>
    <w:p w:rsidR="00EA53E5" w:rsidRDefault="00EA53E5">
      <w:pPr>
        <w:pStyle w:val="newncpi"/>
      </w:pPr>
      <w:r>
        <w:t> </w:t>
      </w:r>
    </w:p>
    <w:p w:rsidR="00EA53E5" w:rsidRDefault="00EA53E5">
      <w:pPr>
        <w:sectPr w:rsidR="00EA53E5" w:rsidSect="00EA53E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20" w:h="16838"/>
          <w:pgMar w:top="1134" w:right="850" w:bottom="1134" w:left="1701" w:header="280" w:footer="708" w:gutter="0"/>
          <w:cols w:space="720"/>
          <w:docGrid w:linePitch="326"/>
        </w:sectPr>
      </w:pPr>
    </w:p>
    <w:p w:rsidR="00EA53E5" w:rsidRDefault="00EA53E5">
      <w:pPr>
        <w:pStyle w:val="newncpi"/>
      </w:pPr>
      <w:r>
        <w:t> </w:t>
      </w:r>
    </w:p>
    <w:p w:rsidR="00EA53E5" w:rsidRDefault="00EA53E5">
      <w:pPr>
        <w:pStyle w:val="newncpi"/>
      </w:pPr>
      <w:r>
        <w:t> </w:t>
      </w:r>
    </w:p>
    <w:p w:rsidR="00EA53E5" w:rsidRDefault="00EA53E5">
      <w:pPr>
        <w:pStyle w:val="newncpi"/>
      </w:pPr>
      <w:r>
        <w:t> </w:t>
      </w:r>
    </w:p>
    <w:p w:rsidR="005B5B25" w:rsidRPr="00857FC3" w:rsidRDefault="005B5B25" w:rsidP="00857FC3">
      <w:pPr>
        <w:rPr>
          <w:rFonts w:cs="Times New Roman"/>
          <w:sz w:val="30"/>
          <w:szCs w:val="30"/>
        </w:rPr>
      </w:pPr>
    </w:p>
    <w:sectPr w:rsidR="005B5B25" w:rsidRPr="00857FC3" w:rsidSect="00EA53E5">
      <w:pgSz w:w="11920" w:h="16838"/>
      <w:pgMar w:top="1134" w:right="850" w:bottom="1134" w:left="1701" w:header="280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3E5" w:rsidRDefault="00EA53E5" w:rsidP="00EA53E5">
      <w:r>
        <w:separator/>
      </w:r>
    </w:p>
  </w:endnote>
  <w:endnote w:type="continuationSeparator" w:id="1">
    <w:p w:rsidR="00EA53E5" w:rsidRDefault="00EA53E5" w:rsidP="00EA5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E5" w:rsidRDefault="00EA53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E5" w:rsidRDefault="00EA53E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182"/>
      <w:gridCol w:w="1500"/>
    </w:tblGrid>
    <w:tr w:rsidR="00EA53E5" w:rsidTr="00EA53E5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EA53E5" w:rsidRDefault="00EA53E5">
          <w:pPr>
            <w:pStyle w:val="a5"/>
            <w:ind w:firstLine="0"/>
          </w:pPr>
          <w:r>
            <w:rPr>
              <w:noProof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2" w:type="dxa"/>
          <w:shd w:val="clear" w:color="auto" w:fill="auto"/>
        </w:tcPr>
        <w:p w:rsidR="00EA53E5" w:rsidRPr="00EA53E5" w:rsidRDefault="00EA53E5">
          <w:pPr>
            <w:pStyle w:val="a5"/>
            <w:ind w:firstLine="0"/>
            <w:rPr>
              <w:rFonts w:cs="Times New Roman"/>
            </w:rPr>
          </w:pPr>
          <w:r>
            <w:rPr>
              <w:rFonts w:cs="Times New Roman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EA53E5" w:rsidRPr="00EA53E5" w:rsidRDefault="00EA53E5" w:rsidP="00EA53E5">
          <w:pPr>
            <w:pStyle w:val="a5"/>
            <w:ind w:firstLine="0"/>
            <w:jc w:val="right"/>
            <w:rPr>
              <w:rFonts w:cs="Times New Roman"/>
            </w:rPr>
          </w:pPr>
          <w:r>
            <w:rPr>
              <w:rFonts w:cs="Times New Roman"/>
            </w:rPr>
            <w:t>08.06.2017</w:t>
          </w:r>
        </w:p>
      </w:tc>
    </w:tr>
    <w:tr w:rsidR="00EA53E5" w:rsidTr="00EA53E5">
      <w:tc>
        <w:tcPr>
          <w:tcW w:w="900" w:type="dxa"/>
          <w:vMerge/>
        </w:tcPr>
        <w:p w:rsidR="00EA53E5" w:rsidRDefault="00EA53E5">
          <w:pPr>
            <w:pStyle w:val="a5"/>
            <w:ind w:firstLine="0"/>
          </w:pPr>
        </w:p>
      </w:tc>
      <w:tc>
        <w:tcPr>
          <w:tcW w:w="7182" w:type="dxa"/>
        </w:tcPr>
        <w:p w:rsidR="00EA53E5" w:rsidRPr="00EA53E5" w:rsidRDefault="00EA53E5">
          <w:pPr>
            <w:pStyle w:val="a5"/>
            <w:ind w:firstLine="0"/>
            <w:rPr>
              <w:rFonts w:cs="Times New Roman"/>
              <w:i/>
            </w:rPr>
          </w:pPr>
          <w:r>
            <w:rPr>
              <w:rFonts w:cs="Times New Roman"/>
              <w:i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EA53E5" w:rsidRDefault="00EA53E5">
          <w:pPr>
            <w:pStyle w:val="a5"/>
            <w:ind w:firstLine="0"/>
          </w:pPr>
        </w:p>
      </w:tc>
    </w:tr>
  </w:tbl>
  <w:p w:rsidR="00EA53E5" w:rsidRDefault="00EA53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3E5" w:rsidRDefault="00EA53E5" w:rsidP="00EA53E5">
      <w:r>
        <w:separator/>
      </w:r>
    </w:p>
  </w:footnote>
  <w:footnote w:type="continuationSeparator" w:id="1">
    <w:p w:rsidR="00EA53E5" w:rsidRDefault="00EA53E5" w:rsidP="00EA5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E5" w:rsidRDefault="00015342" w:rsidP="00D562A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A53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53E5" w:rsidRDefault="00EA53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E5" w:rsidRPr="00EA53E5" w:rsidRDefault="00015342" w:rsidP="00D562A7">
    <w:pPr>
      <w:pStyle w:val="a3"/>
      <w:framePr w:wrap="around" w:vAnchor="text" w:hAnchor="margin" w:xAlign="center" w:y="1"/>
      <w:rPr>
        <w:rStyle w:val="a7"/>
        <w:rFonts w:cs="Times New Roman"/>
      </w:rPr>
    </w:pPr>
    <w:r w:rsidRPr="00EA53E5">
      <w:rPr>
        <w:rStyle w:val="a7"/>
        <w:rFonts w:cs="Times New Roman"/>
      </w:rPr>
      <w:fldChar w:fldCharType="begin"/>
    </w:r>
    <w:r w:rsidR="00EA53E5" w:rsidRPr="00EA53E5">
      <w:rPr>
        <w:rStyle w:val="a7"/>
        <w:rFonts w:cs="Times New Roman"/>
      </w:rPr>
      <w:instrText xml:space="preserve">PAGE  </w:instrText>
    </w:r>
    <w:r w:rsidRPr="00EA53E5">
      <w:rPr>
        <w:rStyle w:val="a7"/>
        <w:rFonts w:cs="Times New Roman"/>
      </w:rPr>
      <w:fldChar w:fldCharType="separate"/>
    </w:r>
    <w:r w:rsidR="00D86FE2">
      <w:rPr>
        <w:rStyle w:val="a7"/>
        <w:rFonts w:cs="Times New Roman"/>
        <w:noProof/>
      </w:rPr>
      <w:t>1</w:t>
    </w:r>
    <w:r w:rsidRPr="00EA53E5">
      <w:rPr>
        <w:rStyle w:val="a7"/>
        <w:rFonts w:cs="Times New Roman"/>
      </w:rPr>
      <w:fldChar w:fldCharType="end"/>
    </w:r>
  </w:p>
  <w:p w:rsidR="00EA53E5" w:rsidRPr="00EA53E5" w:rsidRDefault="00EA53E5">
    <w:pPr>
      <w:pStyle w:val="a3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E5" w:rsidRDefault="00EA53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3E5"/>
    <w:rsid w:val="00015342"/>
    <w:rsid w:val="000B2955"/>
    <w:rsid w:val="004926E3"/>
    <w:rsid w:val="004D4A5B"/>
    <w:rsid w:val="005B5B25"/>
    <w:rsid w:val="00705EA8"/>
    <w:rsid w:val="00763B8F"/>
    <w:rsid w:val="00857FC3"/>
    <w:rsid w:val="008A4DF9"/>
    <w:rsid w:val="0096278B"/>
    <w:rsid w:val="00A0463D"/>
    <w:rsid w:val="00A74466"/>
    <w:rsid w:val="00AF576A"/>
    <w:rsid w:val="00D25120"/>
    <w:rsid w:val="00D86FE2"/>
    <w:rsid w:val="00E12434"/>
    <w:rsid w:val="00EA53E5"/>
    <w:rsid w:val="00ED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55"/>
    <w:pPr>
      <w:widowControl w:val="0"/>
      <w:ind w:firstLine="720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A53E5"/>
    <w:pPr>
      <w:widowControl/>
      <w:spacing w:before="240" w:after="240"/>
      <w:ind w:right="2268" w:firstLine="0"/>
      <w:jc w:val="left"/>
    </w:pPr>
    <w:rPr>
      <w:rFonts w:cs="Times New Roman"/>
      <w:b/>
      <w:bCs/>
      <w:color w:val="auto"/>
      <w:sz w:val="28"/>
      <w:szCs w:val="28"/>
    </w:rPr>
  </w:style>
  <w:style w:type="paragraph" w:customStyle="1" w:styleId="chapter">
    <w:name w:val="chapter"/>
    <w:basedOn w:val="a"/>
    <w:rsid w:val="00EA53E5"/>
    <w:pPr>
      <w:widowControl/>
      <w:spacing w:before="240" w:after="240"/>
      <w:ind w:firstLine="0"/>
      <w:jc w:val="center"/>
    </w:pPr>
    <w:rPr>
      <w:rFonts w:eastAsiaTheme="minorEastAsia" w:cs="Times New Roman"/>
      <w:b/>
      <w:bCs/>
      <w:caps/>
      <w:color w:val="auto"/>
    </w:rPr>
  </w:style>
  <w:style w:type="paragraph" w:customStyle="1" w:styleId="point">
    <w:name w:val="point"/>
    <w:basedOn w:val="a"/>
    <w:rsid w:val="00EA53E5"/>
    <w:pPr>
      <w:widowControl/>
      <w:ind w:firstLine="567"/>
    </w:pPr>
    <w:rPr>
      <w:rFonts w:eastAsiaTheme="minorEastAsia" w:cs="Times New Roman"/>
      <w:color w:val="auto"/>
    </w:rPr>
  </w:style>
  <w:style w:type="paragraph" w:customStyle="1" w:styleId="underpoint">
    <w:name w:val="underpoint"/>
    <w:basedOn w:val="a"/>
    <w:rsid w:val="00EA53E5"/>
    <w:pPr>
      <w:widowControl/>
      <w:ind w:firstLine="567"/>
    </w:pPr>
    <w:rPr>
      <w:rFonts w:eastAsiaTheme="minorEastAsia" w:cs="Times New Roman"/>
      <w:color w:val="auto"/>
    </w:rPr>
  </w:style>
  <w:style w:type="paragraph" w:customStyle="1" w:styleId="comment">
    <w:name w:val="comment"/>
    <w:basedOn w:val="a"/>
    <w:rsid w:val="00EA53E5"/>
    <w:pPr>
      <w:widowControl/>
      <w:ind w:firstLine="709"/>
    </w:pPr>
    <w:rPr>
      <w:rFonts w:eastAsiaTheme="minorEastAsia" w:cs="Times New Roman"/>
      <w:color w:val="auto"/>
      <w:sz w:val="20"/>
      <w:szCs w:val="20"/>
    </w:rPr>
  </w:style>
  <w:style w:type="paragraph" w:customStyle="1" w:styleId="preamble">
    <w:name w:val="preamble"/>
    <w:basedOn w:val="a"/>
    <w:rsid w:val="00EA53E5"/>
    <w:pPr>
      <w:widowControl/>
      <w:ind w:firstLine="567"/>
    </w:pPr>
    <w:rPr>
      <w:rFonts w:eastAsiaTheme="minorEastAsia" w:cs="Times New Roman"/>
      <w:color w:val="auto"/>
    </w:rPr>
  </w:style>
  <w:style w:type="paragraph" w:customStyle="1" w:styleId="snoski">
    <w:name w:val="snoski"/>
    <w:basedOn w:val="a"/>
    <w:rsid w:val="00EA53E5"/>
    <w:pPr>
      <w:widowControl/>
      <w:ind w:firstLine="567"/>
    </w:pPr>
    <w:rPr>
      <w:rFonts w:eastAsiaTheme="minorEastAsia" w:cs="Times New Roman"/>
      <w:color w:val="auto"/>
      <w:sz w:val="20"/>
      <w:szCs w:val="20"/>
    </w:rPr>
  </w:style>
  <w:style w:type="paragraph" w:customStyle="1" w:styleId="snoskiline">
    <w:name w:val="snoskiline"/>
    <w:basedOn w:val="a"/>
    <w:rsid w:val="00EA53E5"/>
    <w:pPr>
      <w:widowControl/>
      <w:ind w:firstLine="0"/>
    </w:pPr>
    <w:rPr>
      <w:rFonts w:eastAsiaTheme="minorEastAsia" w:cs="Times New Roman"/>
      <w:color w:val="auto"/>
      <w:sz w:val="20"/>
      <w:szCs w:val="20"/>
    </w:rPr>
  </w:style>
  <w:style w:type="paragraph" w:customStyle="1" w:styleId="table10">
    <w:name w:val="table10"/>
    <w:basedOn w:val="a"/>
    <w:rsid w:val="00EA53E5"/>
    <w:pPr>
      <w:widowControl/>
      <w:ind w:firstLine="0"/>
      <w:jc w:val="left"/>
    </w:pPr>
    <w:rPr>
      <w:rFonts w:eastAsiaTheme="minorEastAsia" w:cs="Times New Roman"/>
      <w:color w:val="auto"/>
      <w:sz w:val="20"/>
      <w:szCs w:val="20"/>
    </w:rPr>
  </w:style>
  <w:style w:type="paragraph" w:customStyle="1" w:styleId="append">
    <w:name w:val="append"/>
    <w:basedOn w:val="a"/>
    <w:rsid w:val="00EA53E5"/>
    <w:pPr>
      <w:widowControl/>
      <w:ind w:firstLine="0"/>
      <w:jc w:val="left"/>
    </w:pPr>
    <w:rPr>
      <w:rFonts w:eastAsiaTheme="minorEastAsia" w:cs="Times New Roman"/>
      <w:color w:val="auto"/>
      <w:sz w:val="22"/>
      <w:szCs w:val="22"/>
    </w:rPr>
  </w:style>
  <w:style w:type="paragraph" w:customStyle="1" w:styleId="changeadd">
    <w:name w:val="changeadd"/>
    <w:basedOn w:val="a"/>
    <w:rsid w:val="00EA53E5"/>
    <w:pPr>
      <w:widowControl/>
      <w:ind w:left="1134" w:firstLine="567"/>
    </w:pPr>
    <w:rPr>
      <w:rFonts w:eastAsiaTheme="minorEastAsia" w:cs="Times New Roman"/>
      <w:color w:val="auto"/>
    </w:rPr>
  </w:style>
  <w:style w:type="paragraph" w:customStyle="1" w:styleId="changei">
    <w:name w:val="changei"/>
    <w:basedOn w:val="a"/>
    <w:rsid w:val="00EA53E5"/>
    <w:pPr>
      <w:widowControl/>
      <w:ind w:left="1021" w:firstLine="0"/>
      <w:jc w:val="left"/>
    </w:pPr>
    <w:rPr>
      <w:rFonts w:eastAsiaTheme="minorEastAsia" w:cs="Times New Roman"/>
      <w:color w:val="auto"/>
    </w:rPr>
  </w:style>
  <w:style w:type="paragraph" w:customStyle="1" w:styleId="append1">
    <w:name w:val="append1"/>
    <w:basedOn w:val="a"/>
    <w:rsid w:val="00EA53E5"/>
    <w:pPr>
      <w:widowControl/>
      <w:spacing w:after="28"/>
      <w:ind w:firstLine="0"/>
      <w:jc w:val="left"/>
    </w:pPr>
    <w:rPr>
      <w:rFonts w:eastAsiaTheme="minorEastAsia" w:cs="Times New Roman"/>
      <w:color w:val="auto"/>
      <w:sz w:val="22"/>
      <w:szCs w:val="22"/>
    </w:rPr>
  </w:style>
  <w:style w:type="paragraph" w:customStyle="1" w:styleId="newncpi">
    <w:name w:val="newncpi"/>
    <w:basedOn w:val="a"/>
    <w:rsid w:val="00EA53E5"/>
    <w:pPr>
      <w:widowControl/>
      <w:ind w:firstLine="567"/>
    </w:pPr>
    <w:rPr>
      <w:rFonts w:eastAsiaTheme="minorEastAsia" w:cs="Times New Roman"/>
      <w:color w:val="auto"/>
    </w:rPr>
  </w:style>
  <w:style w:type="paragraph" w:customStyle="1" w:styleId="newncpi0">
    <w:name w:val="newncpi0"/>
    <w:basedOn w:val="a"/>
    <w:rsid w:val="00EA53E5"/>
    <w:pPr>
      <w:widowControl/>
      <w:ind w:firstLine="0"/>
    </w:pPr>
    <w:rPr>
      <w:rFonts w:eastAsiaTheme="minorEastAsia" w:cs="Times New Roman"/>
      <w:color w:val="auto"/>
    </w:rPr>
  </w:style>
  <w:style w:type="paragraph" w:customStyle="1" w:styleId="undline">
    <w:name w:val="undline"/>
    <w:basedOn w:val="a"/>
    <w:rsid w:val="00EA53E5"/>
    <w:pPr>
      <w:widowControl/>
      <w:ind w:firstLine="0"/>
    </w:pPr>
    <w:rPr>
      <w:rFonts w:eastAsiaTheme="minorEastAsia" w:cs="Times New Roman"/>
      <w:color w:val="auto"/>
      <w:sz w:val="20"/>
      <w:szCs w:val="20"/>
    </w:rPr>
  </w:style>
  <w:style w:type="character" w:customStyle="1" w:styleId="name">
    <w:name w:val="name"/>
    <w:basedOn w:val="a0"/>
    <w:rsid w:val="00EA53E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A53E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A53E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A53E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A53E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A53E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EA53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53E5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53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53E5"/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EA53E5"/>
  </w:style>
  <w:style w:type="table" w:styleId="a8">
    <w:name w:val="Table Grid"/>
    <w:basedOn w:val="a1"/>
    <w:uiPriority w:val="59"/>
    <w:rsid w:val="00EA5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6F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FE2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1537</Words>
  <Characters>12840</Characters>
  <Application>Microsoft Office Word</Application>
  <DocSecurity>0</DocSecurity>
  <Lines>107</Lines>
  <Paragraphs>28</Paragraphs>
  <ScaleCrop>false</ScaleCrop>
  <Company>minoblim</Company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1</cp:lastModifiedBy>
  <cp:revision>2</cp:revision>
  <cp:lastPrinted>2017-10-12T09:35:00Z</cp:lastPrinted>
  <dcterms:created xsi:type="dcterms:W3CDTF">2017-10-12T09:38:00Z</dcterms:created>
  <dcterms:modified xsi:type="dcterms:W3CDTF">2017-10-12T09:38:00Z</dcterms:modified>
</cp:coreProperties>
</file>